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8" w:start="2832"/>
        <w:rPr/>
      </w:pPr>
      <w:r>
        <w:rPr/>
      </w:r>
      <w:bookmarkStart w:id="0" w:name="_Hlk146613528"/>
      <w:bookmarkStart w:id="1" w:name="_Hlk146613528"/>
      <w:bookmarkEnd w:id="1"/>
    </w:p>
    <w:p>
      <w:pPr>
        <w:pStyle w:val="Normal"/>
        <w:ind w:firstLine="708" w:start="2832"/>
        <w:rPr>
          <w:lang w:val="en-US"/>
        </w:rPr>
      </w:pPr>
      <w:r>
        <mc:AlternateContent>
          <mc:Choice Requires="wps">
            <w:drawing>
              <wp:anchor behindDoc="0" distT="0" distB="14605" distL="0" distR="12700" simplePos="0" locked="0" layoutInCell="1" allowOverlap="1" relativeHeight="4" wp14:anchorId="35F487E5">
                <wp:simplePos x="0" y="0"/>
                <wp:positionH relativeFrom="column">
                  <wp:posOffset>138430</wp:posOffset>
                </wp:positionH>
                <wp:positionV relativeFrom="paragraph">
                  <wp:posOffset>103505</wp:posOffset>
                </wp:positionV>
                <wp:extent cx="6141085" cy="766445"/>
                <wp:effectExtent l="5715" t="5715" r="5080" b="5080"/>
                <wp:wrapNone/>
                <wp:docPr id="1" name="AutoShape 2"/>
                <a:graphic xmlns:a="http://schemas.openxmlformats.org/drawingml/2006/main">
                  <a:graphicData uri="http://schemas.microsoft.com/office/word/2010/wordprocessingShape">
                    <wps:wsp>
                      <wps:cNvSpPr/>
                      <wps:spPr>
                        <a:xfrm>
                          <a:off x="0" y="0"/>
                          <a:ext cx="6141240" cy="766440"/>
                        </a:xfrm>
                        <a:prstGeom prst="plaque">
                          <a:avLst>
                            <a:gd name="adj" fmla="val 16667"/>
                          </a:avLst>
                        </a:prstGeom>
                        <a:noFill/>
                        <a:ln w="9525">
                          <a:solidFill>
                            <a:srgbClr val="000000"/>
                          </a:solidFill>
                          <a:miter/>
                        </a:ln>
                      </wps:spPr>
                      <wps:style>
                        <a:lnRef idx="0"/>
                        <a:fillRef idx="0"/>
                        <a:effectRef idx="0"/>
                        <a:fontRef idx="minor"/>
                      </wps:style>
                      <wps:bodyPr/>
                    </wps:wsp>
                  </a:graphicData>
                </a:graphic>
              </wp:anchor>
            </w:drawing>
          </mc:Choice>
          <mc:Fallback>
            <w:pict>
              <v:shapetype id="_x0000_t21" coordsize="21600,21600" o:spt="21" adj="3600" path="m0@0qx@6@7l@1,qy@8@6l21600@2qx@9@10l@0,21600qy@7@9xe">
                <v:stroke joinstyle="miter"/>
                <v:formulas>
                  <v:f eqn="val #0"/>
                  <v:f eqn="sum width 0 @0"/>
                  <v:f eqn="sum height 0 @0"/>
                  <v:f eqn="prod @0 7071 10000"/>
                  <v:f eqn="sum width 0 @3"/>
                  <v:f eqn="sum height 0 @3"/>
                  <v:f eqn="sum @0 0 0"/>
                  <v:f eqn="sum 0 @0 @0"/>
                  <v:f eqn="sum @0 @1 0"/>
                  <v:f eqn="sum 0 21600 @0"/>
                  <v:f eqn="sum @0 @2 0"/>
                </v:formulas>
                <v:path gradientshapeok="t" o:connecttype="rect" textboxrect="@3,@3,@4,@5"/>
                <v:handles>
                  <v:h position="@0,0"/>
                </v:handles>
              </v:shapetype>
              <v:shape id="shape_0" ID="AutoShape 2" path="l-2147483642,-2147483642l-2147483631,-2147483630l-2147483641,0l-2147483642,-2147483642l-2147483629,-2147483628l-2147483632,-2147483640l-2147483642,-2147483642xe" stroked="t" o:allowincell="f" style="position:absolute;margin-left:10.9pt;margin-top:8.15pt;width:483.5pt;height:60.3pt;mso-wrap-style:none;v-text-anchor:middle" wp14:anchorId="35F487E5" type="_x0000_t21">
                <v:fill o:detectmouseclick="t" on="false"/>
                <v:stroke color="black" weight="9360" joinstyle="miter" endcap="flat"/>
                <w10:wrap type="none"/>
              </v:shape>
            </w:pict>
          </mc:Fallback>
        </mc:AlternateContent>
      </w:r>
      <w:r>
        <w:rPr>
          <w:lang w:val="en-US"/>
        </w:rPr>
        <w:t xml:space="preserve">         </w:t>
      </w:r>
    </w:p>
    <w:p>
      <w:pPr>
        <w:pStyle w:val="Normal"/>
        <w:rPr>
          <w:lang w:val="en-US"/>
        </w:rPr>
      </w:pPr>
      <w:r>
        <w:rPr>
          <w:lang w:val="en-US"/>
        </w:rPr>
      </w:r>
    </w:p>
    <w:p>
      <w:pPr>
        <w:pStyle w:val="Heading1"/>
        <w:ind w:start="426"/>
        <w:rPr>
          <w:rFonts w:ascii="Times New Roman" w:hAnsi="Times New Roman"/>
          <w:sz w:val="44"/>
          <w:szCs w:val="44"/>
          <w:u w:val="none"/>
          <w:lang w:val="en-US"/>
        </w:rPr>
      </w:pPr>
      <w:r>
        <w:rPr>
          <w:rFonts w:ascii="Times New Roman" w:hAnsi="Times New Roman"/>
          <w:sz w:val="36"/>
          <w:u w:val="none"/>
          <w:lang w:val="en-US"/>
        </w:rPr>
        <w:t xml:space="preserve">       </w:t>
      </w:r>
      <w:r>
        <w:rPr>
          <w:rFonts w:ascii="Times New Roman" w:hAnsi="Times New Roman"/>
          <w:sz w:val="44"/>
          <w:szCs w:val="44"/>
          <w:u w:val="none"/>
          <w:lang w:val="en-US"/>
        </w:rPr>
        <w:t>Toys &amp; Games of the Year 2025 – Persbericht</w:t>
      </w:r>
    </w:p>
    <w:p>
      <w:pPr>
        <w:pStyle w:val="Normal"/>
        <w:rPr>
          <w:lang w:val="en-US"/>
        </w:rPr>
      </w:pPr>
      <w:r>
        <w:rPr>
          <w:lang w:val="en-US"/>
        </w:rPr>
      </w:r>
    </w:p>
    <w:p>
      <w:pPr>
        <w:pStyle w:val="Normal"/>
        <w:rPr>
          <w:lang w:val="en-US"/>
        </w:rPr>
      </w:pPr>
      <w:r>
        <w:rPr>
          <w:lang w:val="en-US"/>
        </w:rPr>
      </w:r>
    </w:p>
    <w:p>
      <w:pPr>
        <w:pStyle w:val="Normal"/>
        <w:rPr>
          <w:sz w:val="24"/>
          <w:u w:val="single"/>
          <w:lang w:val="en-US"/>
        </w:rPr>
      </w:pPr>
      <w:r>
        <w:rPr>
          <w:sz w:val="24"/>
          <w:u w:val="single"/>
          <w:lang w:val="en-US"/>
        </w:rPr>
      </w:r>
    </w:p>
    <w:p>
      <w:pPr>
        <w:pStyle w:val="Normal"/>
        <w:ind w:firstLine="708" w:start="3540"/>
        <w:rPr/>
      </w:pPr>
      <w:r>
        <w:rPr/>
        <w:drawing>
          <wp:inline distT="0" distB="0" distL="0" distR="0">
            <wp:extent cx="1155700" cy="11557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2"/>
                    <a:stretch>
                      <a:fillRect/>
                    </a:stretch>
                  </pic:blipFill>
                  <pic:spPr bwMode="auto">
                    <a:xfrm>
                      <a:off x="0" y="0"/>
                      <a:ext cx="1155700" cy="1155700"/>
                    </a:xfrm>
                    <a:prstGeom prst="rect">
                      <a:avLst/>
                    </a:prstGeom>
                    <a:noFill/>
                  </pic:spPr>
                </pic:pic>
              </a:graphicData>
            </a:graphic>
          </wp:inline>
        </w:drawing>
      </w:r>
      <w:r>
        <w:rPr/>
        <w:t xml:space="preserve">         </w:t>
      </w:r>
      <w:r>
        <w:rPr/>
        <w:tab/>
      </w:r>
    </w:p>
    <w:p>
      <w:pPr>
        <w:pStyle w:val="Normal"/>
        <w:ind w:firstLine="708" w:start="2832"/>
        <w:rPr/>
      </w:pPr>
      <w:r>
        <w:rPr/>
      </w:r>
    </w:p>
    <w:p>
      <w:pPr>
        <w:pStyle w:val="Normal"/>
        <w:rPr>
          <w:sz w:val="24"/>
          <w:u w:val="single"/>
        </w:rPr>
      </w:pPr>
      <w:r>
        <w:rPr>
          <w:sz w:val="24"/>
          <w:u w:val="single"/>
        </w:rPr>
      </w:r>
    </w:p>
    <w:p>
      <w:pPr>
        <w:pStyle w:val="Normal"/>
        <w:jc w:val="center"/>
        <w:rPr>
          <w:b/>
          <w:bCs/>
          <w:sz w:val="28"/>
          <w:szCs w:val="28"/>
          <w:lang w:val="nl-BE"/>
        </w:rPr>
      </w:pPr>
      <w:r>
        <w:rPr>
          <w:b/>
          <w:bCs/>
          <w:sz w:val="28"/>
          <w:szCs w:val="28"/>
          <w:lang w:val="nl-BE"/>
        </w:rPr>
        <w:t>De 26</w:t>
      </w:r>
      <w:r>
        <w:rPr>
          <w:b/>
          <w:bCs/>
          <w:sz w:val="28"/>
          <w:szCs w:val="28"/>
          <w:vertAlign w:val="superscript"/>
          <w:lang w:val="nl-BE"/>
        </w:rPr>
        <w:t>ste</w:t>
      </w:r>
      <w:r>
        <w:rPr>
          <w:b/>
          <w:bCs/>
          <w:sz w:val="28"/>
          <w:szCs w:val="28"/>
          <w:lang w:val="nl-BE"/>
        </w:rPr>
        <w:t xml:space="preserve"> editie ‟</w:t>
      </w:r>
      <w:r>
        <w:rPr>
          <w:b/>
          <w:bCs/>
          <w:i/>
          <w:iCs/>
          <w:sz w:val="28"/>
          <w:szCs w:val="28"/>
          <w:lang w:val="nl-BE"/>
        </w:rPr>
        <w:t>Toys &amp; Games of the Year</w:t>
      </w:r>
      <w:r>
        <w:rPr>
          <w:b/>
          <w:bCs/>
          <w:sz w:val="28"/>
          <w:szCs w:val="28"/>
          <w:lang w:val="nl-BE"/>
        </w:rPr>
        <w:t>” maakte haar belofte waar met een hoogwaardige selectie.</w:t>
      </w:r>
    </w:p>
    <w:p>
      <w:pPr>
        <w:pStyle w:val="Normal"/>
        <w:jc w:val="center"/>
        <w:rPr/>
      </w:pPr>
      <w:r>
        <w:rPr>
          <w:b/>
          <w:bCs/>
          <w:sz w:val="28"/>
          <w:szCs w:val="28"/>
          <w:lang w:val="nl-BE"/>
        </w:rPr>
        <w:t> </w:t>
      </w:r>
      <w:r>
        <w:rPr>
          <w:b/>
          <w:bCs/>
          <w:sz w:val="28"/>
          <w:szCs w:val="28"/>
          <w:lang w:val="nl-BE"/>
        </w:rPr>
        <w:t>Innovatie, creativiteit, originaliteit en duurzaamheid - dat zijn de belangrijkste sterke punten en kenmerken van de twaalf winnaars in 2025 en de twee publieksprijzen.</w:t>
      </w:r>
    </w:p>
    <w:p>
      <w:pPr>
        <w:pStyle w:val="Normal"/>
        <w:jc w:val="both"/>
        <w:rPr>
          <w:b/>
          <w:bCs/>
          <w:i/>
          <w:i/>
          <w:iCs/>
          <w:sz w:val="28"/>
          <w:szCs w:val="28"/>
          <w:lang w:val="nl-BE"/>
        </w:rPr>
      </w:pPr>
      <w:r>
        <w:rPr>
          <w:b/>
          <w:bCs/>
          <w:i/>
          <w:iCs/>
          <w:sz w:val="28"/>
          <w:szCs w:val="28"/>
          <w:lang w:val="nl-BE"/>
        </w:rPr>
      </w:r>
    </w:p>
    <w:p>
      <w:pPr>
        <w:pStyle w:val="Normal"/>
        <w:jc w:val="both"/>
        <w:rPr>
          <w:b/>
          <w:bCs/>
          <w:i/>
          <w:i/>
          <w:iCs/>
          <w:sz w:val="28"/>
          <w:szCs w:val="28"/>
          <w:lang w:val="nl-BE"/>
        </w:rPr>
      </w:pPr>
      <w:r>
        <w:rPr>
          <w:b/>
          <w:bCs/>
          <w:i/>
          <w:iCs/>
          <w:sz w:val="28"/>
          <w:szCs w:val="28"/>
          <w:lang w:val="nl-BE"/>
        </w:rPr>
      </w:r>
    </w:p>
    <w:p>
      <w:pPr>
        <w:pStyle w:val="Normal"/>
        <w:jc w:val="both"/>
        <w:rPr>
          <w:lang w:val="nl-BE"/>
        </w:rPr>
      </w:pPr>
      <w:r>
        <w:rPr>
          <w:b/>
          <w:bCs/>
          <w:i/>
          <w:iCs/>
          <w:sz w:val="28"/>
          <w:szCs w:val="28"/>
          <w:lang w:val="nl-BE"/>
        </w:rPr>
        <w:t>Toys &amp; Games of the Year</w:t>
      </w:r>
      <w:r>
        <w:rPr>
          <w:sz w:val="28"/>
          <w:szCs w:val="28"/>
          <w:lang w:val="nl-BE"/>
        </w:rPr>
        <w:t>,</w:t>
      </w:r>
      <w:r>
        <w:rPr>
          <w:sz w:val="24"/>
          <w:szCs w:val="24"/>
          <w:lang w:val="nl-BE"/>
        </w:rPr>
        <w:t xml:space="preserve"> de officiële onderscheiding van de Belgische Speelgoed Federatie en een zorg van totale en niet-commerciële transparantie.</w:t>
      </w:r>
    </w:p>
    <w:p>
      <w:pPr>
        <w:pStyle w:val="Normal"/>
        <w:jc w:val="both"/>
        <w:rPr>
          <w:b/>
          <w:bCs/>
          <w:i/>
          <w:i/>
          <w:iCs/>
          <w:sz w:val="28"/>
          <w:szCs w:val="28"/>
          <w:lang w:val="nl-BE"/>
        </w:rPr>
      </w:pPr>
      <w:r>
        <w:rPr>
          <w:b/>
          <w:bCs/>
          <w:i/>
          <w:iCs/>
          <w:sz w:val="28"/>
          <w:szCs w:val="28"/>
          <w:lang w:val="nl-BE"/>
        </w:rPr>
      </w:r>
    </w:p>
    <w:p>
      <w:pPr>
        <w:pStyle w:val="Normal"/>
        <w:jc w:val="both"/>
        <w:rPr>
          <w:b/>
          <w:bCs/>
          <w:i/>
          <w:i/>
          <w:iCs/>
          <w:sz w:val="28"/>
          <w:szCs w:val="28"/>
          <w:lang w:val="nl-BE"/>
        </w:rPr>
      </w:pPr>
      <w:r>
        <w:rPr>
          <w:b/>
          <w:bCs/>
          <w:i/>
          <w:iCs/>
          <w:sz w:val="28"/>
          <w:szCs w:val="28"/>
          <w:lang w:val="nl-BE"/>
        </w:rPr>
      </w:r>
    </w:p>
    <w:p>
      <w:pPr>
        <w:pStyle w:val="Normal"/>
        <w:jc w:val="both"/>
        <w:rPr/>
      </w:pPr>
      <w:r>
        <w:rPr>
          <w:b/>
          <w:bCs/>
          <w:i/>
          <w:iCs/>
          <w:sz w:val="28"/>
          <w:szCs w:val="28"/>
          <w:lang w:val="nl-BE"/>
        </w:rPr>
        <w:t>Het doel ?</w:t>
      </w:r>
      <w:r>
        <w:rPr>
          <w:sz w:val="28"/>
          <w:szCs w:val="28"/>
          <w:lang w:val="nl-BE"/>
        </w:rPr>
        <w:t xml:space="preserve"> </w:t>
      </w:r>
      <w:r>
        <w:rPr>
          <w:sz w:val="24"/>
          <w:szCs w:val="24"/>
          <w:lang w:val="nl-BE"/>
        </w:rPr>
        <w:t>De fabrikanten, importeurs of agenten belonen voor de kwaliteit van hun ontwikkeling van originele, creatieve spellen en speelgoed die voldoen aan de geldende veiligheids- en duurzaamheidsnormen in de EU.</w:t>
      </w:r>
    </w:p>
    <w:p>
      <w:pPr>
        <w:pStyle w:val="Normal"/>
        <w:jc w:val="both"/>
        <w:rPr>
          <w:sz w:val="28"/>
          <w:szCs w:val="28"/>
          <w:lang w:val="nl-BE"/>
        </w:rPr>
      </w:pPr>
      <w:r>
        <w:rPr>
          <w:sz w:val="28"/>
          <w:szCs w:val="28"/>
          <w:lang w:val="nl-BE"/>
        </w:rPr>
        <w:t> </w:t>
      </w:r>
    </w:p>
    <w:p>
      <w:pPr>
        <w:pStyle w:val="Normal"/>
        <w:jc w:val="both"/>
        <w:rPr>
          <w:sz w:val="28"/>
          <w:szCs w:val="28"/>
        </w:rPr>
      </w:pPr>
      <w:r>
        <w:rPr>
          <w:sz w:val="28"/>
          <w:szCs w:val="28"/>
        </w:rPr>
      </w:r>
    </w:p>
    <w:p>
      <w:pPr>
        <w:pStyle w:val="Normal"/>
        <w:jc w:val="both"/>
        <w:rPr/>
      </w:pPr>
      <w:r>
        <w:rPr>
          <w:b/>
          <w:bCs/>
          <w:i/>
          <w:iCs/>
          <w:sz w:val="28"/>
          <w:szCs w:val="28"/>
          <w:lang w:val="nl-BE"/>
        </w:rPr>
        <w:t>Een evenement erkend door alle kanalen van de distributie </w:t>
      </w:r>
    </w:p>
    <w:p>
      <w:pPr>
        <w:pStyle w:val="Normal"/>
        <w:jc w:val="both"/>
        <w:rPr/>
      </w:pPr>
      <w:r>
        <w:rPr>
          <w:sz w:val="24"/>
          <w:szCs w:val="24"/>
          <w:lang w:val="nl-BE"/>
        </w:rPr>
        <w:t>Deelname aan dit evenement kan voor alle fabrikanten en de beloningen zijn een belangrijke kwaliteitsreferentie in de Belgische speelgoed- en spelletjessector. De spellen en het speelgoed, bekroond door een deskundige jury bestaande uit professionals uit de verschillende distributiekanalen, journalisten, pedagogen en ludotheken, hebben een uniek kwaliteitslabel gekregen om consumenten te helpen bij hun keuze.</w:t>
      </w:r>
    </w:p>
    <w:p>
      <w:pPr>
        <w:pStyle w:val="Normal"/>
        <w:jc w:val="both"/>
        <w:rPr>
          <w:sz w:val="28"/>
          <w:szCs w:val="28"/>
          <w:lang w:val="nl-BE"/>
        </w:rPr>
      </w:pPr>
      <w:r>
        <w:rPr>
          <w:sz w:val="28"/>
          <w:szCs w:val="28"/>
          <w:lang w:val="nl-BE"/>
        </w:rPr>
        <w:t> </w:t>
      </w:r>
    </w:p>
    <w:p>
      <w:pPr>
        <w:pStyle w:val="Normal"/>
        <w:jc w:val="both"/>
        <w:rPr>
          <w:sz w:val="28"/>
          <w:szCs w:val="28"/>
        </w:rPr>
      </w:pPr>
      <w:r>
        <w:rPr>
          <w:sz w:val="28"/>
          <w:szCs w:val="28"/>
        </w:rPr>
      </w:r>
    </w:p>
    <w:p>
      <w:pPr>
        <w:pStyle w:val="Normal"/>
        <w:jc w:val="both"/>
        <w:rPr/>
      </w:pPr>
      <w:r>
        <w:rPr>
          <w:b/>
          <w:bCs/>
          <w:i/>
          <w:iCs/>
          <w:sz w:val="28"/>
          <w:szCs w:val="28"/>
          <w:lang w:val="nl-BE"/>
        </w:rPr>
        <w:t>Verloop </w:t>
      </w:r>
    </w:p>
    <w:p>
      <w:pPr>
        <w:pStyle w:val="Normal"/>
        <w:jc w:val="both"/>
        <w:rPr/>
      </w:pPr>
      <w:r>
        <w:rPr>
          <w:sz w:val="24"/>
          <w:szCs w:val="24"/>
          <w:lang w:val="nl-BE"/>
        </w:rPr>
        <w:t>De spellen en het speelgoed in competitie worden door elke deelnemer gepresenteerd, uitgelegd en gedemonstreerd aan twee jury's. </w:t>
      </w:r>
    </w:p>
    <w:p>
      <w:pPr>
        <w:pStyle w:val="Normal"/>
        <w:jc w:val="both"/>
        <w:rPr/>
      </w:pPr>
      <w:r>
        <w:rPr>
          <w:sz w:val="24"/>
          <w:szCs w:val="24"/>
          <w:lang w:val="nl-BE"/>
        </w:rPr>
        <w:t>In juni beoordeelde een eerste jury van 19 detailhandelaren en inkopers van grote speelgoed- en spelletjeswinkels de 54 concurrerende producten, verdeeld over 12 verschillende categorieën. </w:t>
      </w:r>
    </w:p>
    <w:p>
      <w:pPr>
        <w:pStyle w:val="Normal"/>
        <w:jc w:val="both"/>
        <w:rPr>
          <w:sz w:val="24"/>
          <w:szCs w:val="24"/>
          <w:lang w:val="nl-BE"/>
        </w:rPr>
      </w:pPr>
      <w:r>
        <w:rPr>
          <w:sz w:val="24"/>
          <w:szCs w:val="24"/>
          <w:lang w:val="nl-BE"/>
        </w:rPr>
        <w:t>Vervolgens beoordeelde een tweede jury van journalisten, pedagogen en ludotheken, de twee beste producten in elke categorie, geselecteerd door professionals uit de speelgoedhandel. Het gemiddelde van de resultaten van de twee jury's werd gebruikt om het eindresultaat vast te stellen. </w:t>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sz w:val="28"/>
          <w:szCs w:val="28"/>
          <w:lang w:val="nl-BE"/>
        </w:rPr>
      </w:pPr>
      <w:r>
        <w:rPr>
          <w:sz w:val="28"/>
          <w:szCs w:val="28"/>
          <w:lang w:val="nl-BE"/>
        </w:rPr>
      </w:r>
    </w:p>
    <w:p>
      <w:pPr>
        <w:pStyle w:val="Normal"/>
        <w:jc w:val="both"/>
        <w:rPr>
          <w:b/>
          <w:bCs/>
          <w:i/>
          <w:i/>
          <w:iCs/>
          <w:sz w:val="28"/>
          <w:szCs w:val="28"/>
          <w:lang w:val="nl-BE"/>
        </w:rPr>
      </w:pPr>
      <w:r>
        <w:rPr>
          <w:b/>
          <w:bCs/>
          <w:i/>
          <w:iCs/>
          <w:sz w:val="28"/>
          <w:szCs w:val="28"/>
          <w:lang w:val="nl-BE"/>
        </w:rPr>
        <w:t>Publieksstemming</w:t>
      </w:r>
    </w:p>
    <w:p>
      <w:pPr>
        <w:pStyle w:val="Normal"/>
        <w:jc w:val="both"/>
        <w:rPr>
          <w:sz w:val="24"/>
          <w:szCs w:val="24"/>
        </w:rPr>
      </w:pPr>
      <w:r>
        <w:rPr>
          <w:sz w:val="24"/>
          <w:szCs w:val="24"/>
        </w:rPr>
        <w:t>Aangemoedigd door de belangstelling van de publieksstemmen van vorig jaar, hebben we opnieuw besloten consumenten te vragen hun voorkeur uit te spreken voor de twee beste producten in elke categorie, d.w.z. 24 spellen en speelgoed. Consumenten werd gevraagd te stemmen op hun favoriete product in een van de acht speelgoedcategorieën en op hun favoriete product in een van de vier spelcategorieën. De stemming vond plaats gedurende twee maanden, van 24 augustus tot 3 oktober en er namen 2500 personen aan deel. Een trekking beloont 10 deelnemers voor een van de winnende producten.</w:t>
      </w:r>
    </w:p>
    <w:p>
      <w:pPr>
        <w:pStyle w:val="Normal"/>
        <w:jc w:val="both"/>
        <w:rPr>
          <w:color w:val="FF0000"/>
          <w:sz w:val="24"/>
          <w:szCs w:val="24"/>
        </w:rPr>
      </w:pPr>
      <w:r>
        <w:rPr>
          <w:color w:val="FF0000"/>
          <w:sz w:val="24"/>
          <w:szCs w:val="24"/>
        </w:rPr>
      </w:r>
    </w:p>
    <w:p>
      <w:pPr>
        <w:pStyle w:val="Normal"/>
        <w:jc w:val="both"/>
        <w:rPr>
          <w:color w:val="FF0000"/>
          <w:sz w:val="24"/>
          <w:szCs w:val="24"/>
        </w:rPr>
      </w:pPr>
      <w:r>
        <w:rPr>
          <w:color w:val="FF0000"/>
          <w:sz w:val="24"/>
          <w:szCs w:val="24"/>
        </w:rPr>
      </w:r>
    </w:p>
    <w:p>
      <w:pPr>
        <w:pStyle w:val="Normal"/>
        <w:jc w:val="both"/>
        <w:rPr/>
      </w:pPr>
      <w:r>
        <w:rPr>
          <w:b/>
          <w:bCs/>
          <w:i/>
          <w:iCs/>
          <w:sz w:val="28"/>
          <w:szCs w:val="28"/>
          <w:lang w:val="nl-BE"/>
        </w:rPr>
        <w:t>Mededeling </w:t>
      </w:r>
    </w:p>
    <w:p>
      <w:pPr>
        <w:pStyle w:val="Normal"/>
        <w:jc w:val="both"/>
        <w:rPr/>
      </w:pPr>
      <w:r>
        <w:rPr>
          <w:sz w:val="24"/>
          <w:szCs w:val="24"/>
          <w:lang w:val="nl-BE"/>
        </w:rPr>
        <w:t xml:space="preserve">De winnende bedrijven gebruiken het speelgoedlabel </w:t>
      </w:r>
      <w:r>
        <w:rPr>
          <w:b/>
          <w:bCs/>
          <w:sz w:val="24"/>
          <w:szCs w:val="24"/>
          <w:lang w:val="nl-BE"/>
        </w:rPr>
        <w:t>‟</w:t>
      </w:r>
      <w:r>
        <w:rPr>
          <w:b/>
          <w:bCs/>
          <w:i/>
          <w:iCs/>
          <w:sz w:val="24"/>
          <w:szCs w:val="24"/>
          <w:lang w:val="nl-BE"/>
        </w:rPr>
        <w:t>Toys &amp; Games of the Year</w:t>
      </w:r>
      <w:r>
        <w:rPr>
          <w:b/>
          <w:bCs/>
          <w:sz w:val="24"/>
          <w:szCs w:val="24"/>
          <w:lang w:val="nl-BE"/>
        </w:rPr>
        <w:t xml:space="preserve">” </w:t>
      </w:r>
      <w:r>
        <w:rPr>
          <w:sz w:val="24"/>
          <w:szCs w:val="24"/>
          <w:lang w:val="nl-BE"/>
        </w:rPr>
        <w:t>en vrij op de verpakking van de winnende producten, in schriftelijke en audiovisuele advertenties, catalogi en persmappen plaatsen. </w:t>
      </w:r>
    </w:p>
    <w:p>
      <w:pPr>
        <w:pStyle w:val="Normal"/>
        <w:jc w:val="both"/>
        <w:rPr>
          <w:sz w:val="24"/>
          <w:szCs w:val="24"/>
          <w:lang w:val="nl-BE"/>
        </w:rPr>
      </w:pPr>
      <w:r>
        <w:rPr>
          <w:sz w:val="24"/>
          <w:szCs w:val="24"/>
          <w:lang w:val="nl-BE"/>
        </w:rPr>
        <w:t xml:space="preserve">Het logo </w:t>
      </w:r>
      <w:r>
        <w:rPr>
          <w:b/>
          <w:bCs/>
          <w:sz w:val="24"/>
          <w:szCs w:val="24"/>
          <w:lang w:val="nl-BE"/>
        </w:rPr>
        <w:t>‟</w:t>
      </w:r>
      <w:r>
        <w:rPr>
          <w:b/>
          <w:bCs/>
          <w:i/>
          <w:iCs/>
          <w:sz w:val="24"/>
          <w:szCs w:val="24"/>
          <w:lang w:val="nl-BE"/>
        </w:rPr>
        <w:t>Toys &amp; Games of the Year</w:t>
      </w:r>
      <w:r>
        <w:rPr>
          <w:b/>
          <w:bCs/>
          <w:sz w:val="24"/>
          <w:szCs w:val="24"/>
          <w:lang w:val="nl-BE"/>
        </w:rPr>
        <w:t xml:space="preserve">” </w:t>
      </w:r>
      <w:r>
        <w:rPr>
          <w:sz w:val="24"/>
          <w:szCs w:val="24"/>
          <w:lang w:val="nl-BE"/>
        </w:rPr>
        <w:t>wordt ook aan het hele distributienetwerk geleverd voor publicatie in de eindejaar catalogi, die in tientallen miljoenen exemplaren worden verspreid. </w:t>
      </w:r>
    </w:p>
    <w:p>
      <w:pPr>
        <w:pStyle w:val="Normal"/>
        <w:jc w:val="both"/>
        <w:rPr/>
      </w:pPr>
      <w:r>
        <w:rPr/>
      </w:r>
    </w:p>
    <w:p>
      <w:pPr>
        <w:pStyle w:val="Normal"/>
        <w:jc w:val="both"/>
        <w:rPr/>
      </w:pPr>
      <w:r>
        <w:rPr/>
      </w:r>
    </w:p>
    <w:p>
      <w:pPr>
        <w:pStyle w:val="Normal"/>
        <w:rPr>
          <w:sz w:val="28"/>
          <w:szCs w:val="28"/>
          <w:u w:val="single"/>
        </w:rPr>
      </w:pPr>
      <w:r>
        <w:rPr>
          <w:sz w:val="28"/>
          <w:szCs w:val="28"/>
          <w:u w:val="single"/>
        </w:rPr>
      </w:r>
    </w:p>
    <w:p>
      <w:pPr>
        <w:pStyle w:val="BodyText"/>
        <w:spacing w:lineRule="auto" w:line="281"/>
        <w:rPr>
          <w:rFonts w:ascii="Times New Roman" w:hAnsi="Times New Roman"/>
          <w:b/>
          <w:bCs/>
          <w:i/>
          <w:i/>
          <w:iCs/>
          <w:sz w:val="32"/>
          <w:szCs w:val="32"/>
          <w:lang w:val="en-US"/>
        </w:rPr>
      </w:pPr>
      <w:r>
        <w:rPr>
          <w:rFonts w:ascii="Times New Roman" w:hAnsi="Times New Roman"/>
          <w:b/>
          <w:bCs/>
          <w:i/>
          <w:iCs/>
          <w:sz w:val="32"/>
          <w:szCs w:val="32"/>
          <w:lang w:val="en-US"/>
        </w:rPr>
        <w:t>Palmares 2025</w:t>
      </w:r>
    </w:p>
    <w:p>
      <w:pPr>
        <w:pStyle w:val="BodyText"/>
        <w:spacing w:lineRule="auto" w:line="281"/>
        <w:rPr>
          <w:rFonts w:ascii="Times New Roman" w:hAnsi="Times New Roman"/>
          <w:b/>
          <w:bCs/>
          <w:i/>
          <w:i/>
          <w:iCs/>
          <w:sz w:val="32"/>
          <w:szCs w:val="32"/>
          <w:lang w:val="en-US"/>
        </w:rPr>
      </w:pPr>
      <w:r>
        <w:rPr>
          <w:rFonts w:ascii="Times New Roman" w:hAnsi="Times New Roman"/>
          <w:b/>
          <w:bCs/>
          <w:i/>
          <w:iCs/>
          <w:sz w:val="32"/>
          <w:szCs w:val="32"/>
          <w:lang w:val="en-US"/>
        </w:rPr>
      </w:r>
    </w:p>
    <w:p>
      <w:pPr>
        <w:pStyle w:val="Normal"/>
        <w:rPr>
          <w:sz w:val="24"/>
          <w:szCs w:val="24"/>
          <w:lang w:val="en-US" w:eastAsia="en-US"/>
        </w:rPr>
      </w:pPr>
      <w:r>
        <w:rPr>
          <w:sz w:val="24"/>
          <w:szCs w:val="24"/>
          <w:lang w:val="en-US" w:eastAsia="en-US"/>
        </w:rPr>
        <w:t>Eerste leeftijd speelgoed            </w:t>
        <w:tab/>
        <w:t xml:space="preserve">Carrera Speed Arena, Disney Pixar Cars – </w:t>
      </w:r>
      <w:r>
        <w:rPr>
          <w:b/>
          <w:bCs/>
          <w:sz w:val="24"/>
          <w:szCs w:val="24"/>
          <w:lang w:val="en-US" w:eastAsia="en-US"/>
        </w:rPr>
        <w:t>Carrera </w:t>
      </w:r>
    </w:p>
    <w:p>
      <w:pPr>
        <w:pStyle w:val="Normal"/>
        <w:numPr>
          <w:ilvl w:val="0"/>
          <w:numId w:val="0"/>
        </w:numPr>
        <w:shd w:val="clear" w:color="auto" w:fill="FFFFFF"/>
        <w:outlineLvl w:val="4"/>
        <w:rPr>
          <w:sz w:val="24"/>
          <w:szCs w:val="24"/>
          <w:lang w:val="en-US" w:eastAsia="en-US"/>
        </w:rPr>
      </w:pPr>
      <w:r>
        <w:rPr>
          <w:sz w:val="24"/>
          <w:szCs w:val="24"/>
          <w:lang w:val="en-US" w:eastAsia="en-US"/>
        </w:rPr>
        <w:t>Creatief speelgoed                  </w:t>
        <w:tab/>
      </w:r>
      <w:r>
        <w:rPr>
          <w:sz w:val="24"/>
          <w:szCs w:val="24"/>
          <w:lang w:val="en-US" w:eastAsia="fr-BE"/>
        </w:rPr>
        <w:t xml:space="preserve">Super PLAY-DOH Taart met laagjes speelset </w:t>
      </w:r>
      <w:r>
        <w:rPr>
          <w:sz w:val="24"/>
          <w:szCs w:val="24"/>
          <w:lang w:val="en-US" w:eastAsia="en-US"/>
        </w:rPr>
        <w:t xml:space="preserve">– </w:t>
      </w:r>
      <w:r>
        <w:rPr>
          <w:b/>
          <w:bCs/>
          <w:sz w:val="24"/>
          <w:szCs w:val="24"/>
          <w:lang w:val="en-US" w:eastAsia="en-US"/>
        </w:rPr>
        <w:t>Hasbro</w:t>
      </w:r>
    </w:p>
    <w:p>
      <w:pPr>
        <w:pStyle w:val="Normal"/>
        <w:rPr>
          <w:sz w:val="24"/>
          <w:szCs w:val="24"/>
          <w:lang w:val="en-US" w:eastAsia="en-US"/>
        </w:rPr>
      </w:pPr>
      <w:r>
        <w:rPr>
          <w:sz w:val="24"/>
          <w:szCs w:val="24"/>
          <w:lang w:val="en-US" w:eastAsia="en-US"/>
        </w:rPr>
        <w:t>Speelwereld                                </w:t>
        <w:tab/>
      </w:r>
      <w:r>
        <w:rPr>
          <w:sz w:val="24"/>
          <w:szCs w:val="24"/>
          <w:lang w:val="en-US" w:eastAsia="fr-BE"/>
        </w:rPr>
        <w:t>LEGO® City Helikopter, brandweerauto en onderzeeër remix</w:t>
      </w:r>
    </w:p>
    <w:p>
      <w:pPr>
        <w:pStyle w:val="Normal"/>
        <w:rPr>
          <w:sz w:val="24"/>
          <w:szCs w:val="24"/>
          <w:lang w:val="en-US" w:eastAsia="en-US"/>
        </w:rPr>
      </w:pPr>
      <w:r>
        <w:rPr>
          <w:sz w:val="24"/>
          <w:szCs w:val="24"/>
          <w:lang w:val="en-US" w:eastAsia="en-US"/>
        </w:rPr>
        <w:t>Interactief speelgoed                     </w:t>
        <w:tab/>
        <w:t xml:space="preserve">Chick -a- Boo – </w:t>
      </w:r>
      <w:r>
        <w:rPr>
          <w:b/>
          <w:bCs/>
          <w:sz w:val="24"/>
          <w:szCs w:val="24"/>
          <w:lang w:val="en-US" w:eastAsia="en-US"/>
        </w:rPr>
        <w:t>Jumbo Group</w:t>
      </w:r>
    </w:p>
    <w:p>
      <w:pPr>
        <w:pStyle w:val="Normal"/>
        <w:rPr>
          <w:sz w:val="24"/>
          <w:szCs w:val="24"/>
          <w:lang w:val="en-US" w:eastAsia="en-US"/>
        </w:rPr>
      </w:pPr>
      <w:r>
        <w:rPr>
          <w:sz w:val="24"/>
          <w:szCs w:val="24"/>
          <w:lang w:val="en-US" w:eastAsia="en-US"/>
        </w:rPr>
        <w:t xml:space="preserve">Figuren – Actie                                  Carrera Go!!! Speed Zone - </w:t>
      </w:r>
      <w:r>
        <w:rPr>
          <w:b/>
          <w:bCs/>
          <w:sz w:val="24"/>
          <w:szCs w:val="24"/>
          <w:lang w:val="en-US" w:eastAsia="en-US"/>
        </w:rPr>
        <w:t>Carrera</w:t>
      </w:r>
    </w:p>
    <w:p>
      <w:pPr>
        <w:pStyle w:val="Normal"/>
        <w:rPr>
          <w:sz w:val="24"/>
          <w:szCs w:val="24"/>
          <w:lang w:val="en-US" w:eastAsia="en-US"/>
        </w:rPr>
      </w:pPr>
      <w:r>
        <w:rPr>
          <w:sz w:val="24"/>
          <w:szCs w:val="24"/>
          <w:lang w:val="en-US" w:eastAsia="en-US"/>
        </w:rPr>
        <w:t xml:space="preserve">Constructie voor iedereen                  Stranger Things – Metamorphic Art Collection – </w:t>
      </w:r>
      <w:r>
        <w:rPr>
          <w:b/>
          <w:bCs/>
          <w:sz w:val="24"/>
          <w:szCs w:val="24"/>
          <w:lang w:val="en-US" w:eastAsia="en-US"/>
        </w:rPr>
        <w:t>Clementoni  </w:t>
      </w:r>
    </w:p>
    <w:p>
      <w:pPr>
        <w:pStyle w:val="Normal"/>
        <w:rPr>
          <w:sz w:val="24"/>
          <w:szCs w:val="24"/>
          <w:lang w:val="en-US" w:eastAsia="en-US"/>
        </w:rPr>
      </w:pPr>
      <w:r>
        <w:rPr>
          <w:sz w:val="24"/>
          <w:szCs w:val="24"/>
          <w:lang w:val="en-US" w:eastAsia="en-US"/>
        </w:rPr>
        <w:t>Leren – Ontdekking</w:t>
        <w:tab/>
        <w:tab/>
        <w:tab/>
        <w:t xml:space="preserve">KIDYELEC Expert – </w:t>
      </w:r>
      <w:r>
        <w:rPr>
          <w:b/>
          <w:bCs/>
          <w:sz w:val="24"/>
          <w:szCs w:val="24"/>
          <w:lang w:val="en-US" w:eastAsia="en-US"/>
        </w:rPr>
        <w:t>Kidywolf  (Nespart)</w:t>
      </w:r>
      <w:r>
        <w:rPr>
          <w:sz w:val="24"/>
          <w:szCs w:val="24"/>
          <w:lang w:val="en-US" w:eastAsia="en-US"/>
        </w:rPr>
        <w:tab/>
      </w:r>
    </w:p>
    <w:p>
      <w:pPr>
        <w:pStyle w:val="Normal"/>
        <w:rPr>
          <w:sz w:val="24"/>
          <w:szCs w:val="24"/>
          <w:lang w:val="en-US" w:eastAsia="en-US"/>
        </w:rPr>
      </w:pPr>
      <w:r>
        <w:rPr>
          <w:sz w:val="24"/>
          <w:szCs w:val="24"/>
          <w:lang w:val="en-US" w:eastAsia="en-US"/>
        </w:rPr>
        <w:t xml:space="preserve">Collectibles                                        Beanie Bouncers – </w:t>
      </w:r>
      <w:r>
        <w:rPr>
          <w:b/>
          <w:bCs/>
          <w:sz w:val="24"/>
          <w:szCs w:val="24"/>
          <w:lang w:val="en-US" w:eastAsia="en-US"/>
        </w:rPr>
        <w:t>TY (Juratoys)</w:t>
      </w:r>
      <w:r>
        <w:rPr>
          <w:sz w:val="24"/>
          <w:szCs w:val="24"/>
          <w:lang w:val="en-US" w:eastAsia="en-US"/>
        </w:rPr>
        <w:t>                         </w:t>
      </w:r>
    </w:p>
    <w:p>
      <w:pPr>
        <w:pStyle w:val="Normal"/>
        <w:rPr>
          <w:sz w:val="24"/>
          <w:szCs w:val="24"/>
          <w:lang w:eastAsia="en-US"/>
        </w:rPr>
      </w:pPr>
      <w:r>
        <w:rPr>
          <w:sz w:val="24"/>
          <w:szCs w:val="24"/>
          <w:lang w:eastAsia="en-US"/>
        </w:rPr>
        <w:t xml:space="preserve">Kinderspellen                                     De Wolf &amp; de 7 Geitjes – </w:t>
      </w:r>
      <w:r>
        <w:rPr>
          <w:b/>
          <w:bCs/>
          <w:sz w:val="24"/>
          <w:szCs w:val="24"/>
          <w:lang w:eastAsia="en-US"/>
        </w:rPr>
        <w:t>Smart Toys &amp; Games</w:t>
      </w:r>
    </w:p>
    <w:p>
      <w:pPr>
        <w:pStyle w:val="Normal"/>
        <w:rPr>
          <w:sz w:val="24"/>
          <w:szCs w:val="24"/>
          <w:lang w:eastAsia="en-US"/>
        </w:rPr>
      </w:pPr>
      <w:r>
        <w:rPr>
          <w:sz w:val="24"/>
          <w:szCs w:val="24"/>
          <w:lang w:eastAsia="en-US"/>
        </w:rPr>
        <w:t xml:space="preserve">Strategische spellen                            Strategeti – </w:t>
      </w:r>
      <w:r>
        <w:rPr>
          <w:b/>
          <w:bCs/>
          <w:sz w:val="24"/>
          <w:szCs w:val="24"/>
          <w:lang w:eastAsia="en-US"/>
        </w:rPr>
        <w:t>FlexiQ Games (Asmodee)</w:t>
      </w:r>
    </w:p>
    <w:p>
      <w:pPr>
        <w:pStyle w:val="Normal"/>
        <w:rPr>
          <w:sz w:val="24"/>
          <w:szCs w:val="24"/>
          <w:lang w:eastAsia="en-US"/>
        </w:rPr>
      </w:pPr>
      <w:r>
        <w:rPr>
          <w:sz w:val="24"/>
          <w:szCs w:val="24"/>
          <w:lang w:eastAsia="en-US"/>
        </w:rPr>
        <w:t>Party spellen                                       Exploding Kittens – Het Bordspel –</w:t>
      </w:r>
      <w:r>
        <w:rPr>
          <w:b/>
          <w:bCs/>
          <w:sz w:val="24"/>
          <w:szCs w:val="24"/>
          <w:lang w:eastAsia="en-US"/>
        </w:rPr>
        <w:t xml:space="preserve"> Asmodee</w:t>
      </w:r>
    </w:p>
    <w:p>
      <w:pPr>
        <w:pStyle w:val="Normal"/>
        <w:rPr>
          <w:sz w:val="24"/>
          <w:szCs w:val="24"/>
          <w:lang w:eastAsia="en-US"/>
        </w:rPr>
      </w:pPr>
      <w:r>
        <w:rPr>
          <w:sz w:val="24"/>
          <w:szCs w:val="24"/>
          <w:lang w:eastAsia="en-US"/>
        </w:rPr>
        <w:t xml:space="preserve">Denk-en logicaspellen                        Brick Like This ! – </w:t>
      </w:r>
      <w:r>
        <w:rPr>
          <w:b/>
          <w:bCs/>
          <w:sz w:val="24"/>
          <w:szCs w:val="24"/>
          <w:lang w:eastAsia="en-US"/>
        </w:rPr>
        <w:t>Dotted Games (Asmodee)</w:t>
      </w:r>
    </w:p>
    <w:p>
      <w:pPr>
        <w:pStyle w:val="Normal"/>
        <w:rPr>
          <w:sz w:val="24"/>
          <w:szCs w:val="24"/>
          <w:lang w:eastAsia="fr-BE"/>
        </w:rPr>
      </w:pPr>
      <w:r>
        <w:rPr>
          <w:sz w:val="24"/>
          <w:szCs w:val="24"/>
          <w:lang w:eastAsia="fr-BE"/>
        </w:rPr>
      </w:r>
    </w:p>
    <w:p>
      <w:pPr>
        <w:pStyle w:val="Normal"/>
        <w:rPr>
          <w:b/>
          <w:bCs/>
          <w:i/>
          <w:i/>
          <w:iCs/>
          <w:sz w:val="28"/>
          <w:szCs w:val="28"/>
          <w:lang w:eastAsia="fr-BE"/>
        </w:rPr>
      </w:pPr>
      <w:r>
        <w:rPr>
          <w:b/>
          <w:bCs/>
          <w:i/>
          <w:iCs/>
          <w:sz w:val="28"/>
          <w:szCs w:val="28"/>
          <w:lang w:eastAsia="fr-BE"/>
        </w:rPr>
        <w:t>Publieksprijzen</w:t>
      </w:r>
    </w:p>
    <w:p>
      <w:pPr>
        <w:pStyle w:val="Normal"/>
        <w:rPr>
          <w:sz w:val="24"/>
          <w:szCs w:val="24"/>
          <w:lang w:eastAsia="fr-BE"/>
        </w:rPr>
      </w:pPr>
      <w:r>
        <w:rPr>
          <w:sz w:val="24"/>
          <w:szCs w:val="24"/>
          <w:lang w:eastAsia="fr-BE"/>
        </w:rPr>
      </w:r>
    </w:p>
    <w:p>
      <w:pPr>
        <w:pStyle w:val="Normal"/>
        <w:rPr>
          <w:b/>
          <w:bCs/>
          <w:color w:themeColor="text1" w:val="000000"/>
          <w:sz w:val="24"/>
          <w:szCs w:val="24"/>
          <w:lang w:eastAsia="fr-BE"/>
        </w:rPr>
      </w:pPr>
      <w:r>
        <w:rPr>
          <w:sz w:val="24"/>
          <w:szCs w:val="24"/>
          <w:lang w:eastAsia="fr-BE"/>
        </w:rPr>
        <w:t>Speelgoed categorie</w:t>
        <w:tab/>
        <w:tab/>
        <w:t xml:space="preserve">             </w:t>
      </w:r>
      <w:r>
        <w:rPr>
          <w:color w:themeColor="text1" w:val="000000"/>
          <w:sz w:val="24"/>
          <w:szCs w:val="24"/>
          <w:lang w:eastAsia="fr-BE"/>
        </w:rPr>
        <w:t xml:space="preserve">LEGO® Art Vincent van Gogh – Zonnebloemen – </w:t>
      </w:r>
      <w:r>
        <w:rPr>
          <w:b/>
          <w:bCs/>
          <w:color w:themeColor="text1" w:val="000000"/>
          <w:sz w:val="24"/>
          <w:szCs w:val="24"/>
          <w:lang w:eastAsia="fr-BE"/>
        </w:rPr>
        <w:t>The Lego Group</w:t>
      </w:r>
    </w:p>
    <w:p>
      <w:pPr>
        <w:pStyle w:val="Normal"/>
        <w:rPr>
          <w:sz w:val="24"/>
          <w:szCs w:val="24"/>
          <w:lang w:eastAsia="fr-BE"/>
        </w:rPr>
      </w:pPr>
      <w:r>
        <w:rPr>
          <w:sz w:val="24"/>
          <w:szCs w:val="24"/>
          <w:lang w:eastAsia="fr-BE"/>
        </w:rPr>
        <w:t>Spellen categorie</w:t>
        <w:tab/>
        <w:tab/>
        <w:tab/>
        <w:t xml:space="preserve"> </w:t>
      </w:r>
      <w:r>
        <w:rPr>
          <w:sz w:val="24"/>
          <w:szCs w:val="24"/>
          <w:lang w:eastAsia="en-US"/>
        </w:rPr>
        <w:t xml:space="preserve">De Wolf &amp; de 7 Geitjes – </w:t>
      </w:r>
      <w:r>
        <w:rPr>
          <w:b/>
          <w:bCs/>
          <w:sz w:val="24"/>
          <w:szCs w:val="24"/>
          <w:lang w:eastAsia="en-US"/>
        </w:rPr>
        <w:t>Smart Toys &amp; Games</w:t>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szCs w:val="24"/>
          <w:lang w:eastAsia="fr-BE"/>
        </w:rPr>
      </w:pPr>
      <w:r>
        <w:rPr>
          <w:sz w:val="24"/>
          <w:szCs w:val="24"/>
          <w:lang w:eastAsia="fr-BE"/>
        </w:rPr>
      </w:r>
    </w:p>
    <w:p>
      <w:pPr>
        <w:pStyle w:val="Normal"/>
        <w:rPr>
          <w:sz w:val="24"/>
        </w:rPr>
      </w:pPr>
      <w:r>
        <w:rPr>
          <w:sz w:val="24"/>
        </w:rPr>
      </w:r>
    </w:p>
    <w:p>
      <w:pPr>
        <w:pStyle w:val="Normal"/>
        <w:rPr>
          <w:sz w:val="24"/>
        </w:rPr>
      </w:pPr>
      <w:r>
        <w:rPr>
          <w:sz w:val="24"/>
        </w:rPr>
        <mc:AlternateContent>
          <mc:Choice Requires="wps">
            <w:drawing>
              <wp:anchor behindDoc="0" distT="0" distB="26670" distL="0" distR="19050" simplePos="0" locked="0" layoutInCell="1" allowOverlap="1" relativeHeight="3" wp14:anchorId="12B24881">
                <wp:simplePos x="0" y="0"/>
                <wp:positionH relativeFrom="column">
                  <wp:posOffset>296545</wp:posOffset>
                </wp:positionH>
                <wp:positionV relativeFrom="paragraph">
                  <wp:posOffset>66040</wp:posOffset>
                </wp:positionV>
                <wp:extent cx="5372100" cy="868680"/>
                <wp:effectExtent l="5080" t="5080" r="5715" b="5715"/>
                <wp:wrapNone/>
                <wp:docPr id="3" name="AutoShape 3"/>
                <a:graphic xmlns:a="http://schemas.openxmlformats.org/drawingml/2006/main">
                  <a:graphicData uri="http://schemas.microsoft.com/office/word/2010/wordprocessingShape">
                    <wps:wsp>
                      <wps:cNvSpPr/>
                      <wps:spPr>
                        <a:xfrm>
                          <a:off x="0" y="0"/>
                          <a:ext cx="5372280" cy="868680"/>
                        </a:xfrm>
                        <a:prstGeom prst="plaque">
                          <a:avLst>
                            <a:gd name="adj" fmla="val 16667"/>
                          </a:avLst>
                        </a:prstGeom>
                        <a:noFill/>
                        <a:ln w="9525">
                          <a:solidFill>
                            <a:srgbClr val="000000"/>
                          </a:solidFill>
                          <a:miter/>
                        </a:ln>
                      </wps:spPr>
                      <wps:style>
                        <a:lnRef idx="0"/>
                        <a:fillRef idx="0"/>
                        <a:effectRef idx="0"/>
                        <a:fontRef idx="minor"/>
                      </wps:style>
                      <wps:bodyPr/>
                    </wps:wsp>
                  </a:graphicData>
                </a:graphic>
              </wp:anchor>
            </w:drawing>
          </mc:Choice>
          <mc:Fallback>
            <w:pict>
              <v:shape id="shape_0" ID="AutoShape 3" path="l-2147483642,-2147483642l-2147483631,-2147483630l-2147483641,0l-2147483642,-2147483642l-2147483629,-2147483628l-2147483632,-2147483640l-2147483642,-2147483642xe" stroked="t" o:allowincell="f" style="position:absolute;margin-left:23.35pt;margin-top:5.2pt;width:422.95pt;height:68.35pt;mso-wrap-style:none;v-text-anchor:middle" wp14:anchorId="12B24881" type="_x0000_t21">
                <v:fill o:detectmouseclick="t" on="false"/>
                <v:stroke color="black" weight="9360" joinstyle="miter" endcap="flat"/>
                <w10:wrap type="none"/>
              </v:shape>
            </w:pict>
          </mc:Fallback>
        </mc:AlternateContent>
      </w:r>
    </w:p>
    <w:p>
      <w:pPr>
        <w:pStyle w:val="Normal"/>
        <w:rPr>
          <w:sz w:val="24"/>
        </w:rPr>
      </w:pPr>
      <w:r>
        <w:rPr>
          <w:sz w:val="24"/>
        </w:rPr>
      </w:r>
    </w:p>
    <w:p>
      <w:pPr>
        <w:pStyle w:val="Heading1"/>
        <w:jc w:val="center"/>
        <w:rPr>
          <w:rFonts w:ascii="Times New Roman" w:hAnsi="Times New Roman"/>
          <w:sz w:val="40"/>
          <w:szCs w:val="40"/>
          <w:lang w:val="nl-NL"/>
        </w:rPr>
      </w:pPr>
      <w:r>
        <w:rPr>
          <w:rFonts w:ascii="Times New Roman" w:hAnsi="Times New Roman"/>
          <w:sz w:val="40"/>
          <w:szCs w:val="40"/>
          <w:u w:val="none"/>
          <w:lang w:val="nl-NL"/>
        </w:rPr>
        <w:t>De Belgische Speelgoedfederatie</w:t>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b/>
          <w:bCs/>
          <w:i/>
          <w:i/>
          <w:iCs/>
          <w:sz w:val="28"/>
        </w:rPr>
      </w:pPr>
      <w:r>
        <w:rPr>
          <w:b/>
          <w:bCs/>
          <w:i/>
          <w:iCs/>
          <w:sz w:val="28"/>
        </w:rPr>
      </w:r>
    </w:p>
    <w:p>
      <w:pPr>
        <w:pStyle w:val="Normal"/>
        <w:rPr>
          <w:sz w:val="24"/>
        </w:rPr>
      </w:pPr>
      <w:r>
        <w:rPr>
          <w:b/>
          <w:bCs/>
          <w:i/>
          <w:iCs/>
          <w:sz w:val="28"/>
        </w:rPr>
        <w:t>De</w:t>
      </w:r>
      <w:r>
        <w:rPr>
          <w:sz w:val="24"/>
        </w:rPr>
        <w:t xml:space="preserve"> </w:t>
      </w:r>
      <w:r>
        <w:rPr>
          <w:b/>
          <w:i/>
          <w:sz w:val="24"/>
        </w:rPr>
        <w:t>Belgische Speelgoedfederatie</w:t>
      </w:r>
      <w:r>
        <w:rPr>
          <w:sz w:val="24"/>
        </w:rPr>
        <w:t xml:space="preserve"> werd in 1982 opgericht door enkele Belgische fabrikanten. </w:t>
      </w:r>
    </w:p>
    <w:p>
      <w:pPr>
        <w:pStyle w:val="Normal"/>
        <w:rPr>
          <w:sz w:val="24"/>
        </w:rPr>
      </w:pPr>
      <w:r>
        <w:rPr>
          <w:sz w:val="24"/>
        </w:rPr>
        <w:t>Ze streeft diverse doelstellingen na:</w:t>
      </w:r>
    </w:p>
    <w:p>
      <w:pPr>
        <w:pStyle w:val="Normal"/>
        <w:tabs>
          <w:tab w:val="clear" w:pos="708"/>
          <w:tab w:val="left" w:pos="360" w:leader="none"/>
        </w:tabs>
        <w:ind w:start="720"/>
        <w:rPr>
          <w:sz w:val="24"/>
        </w:rPr>
      </w:pPr>
      <w:r>
        <w:rPr>
          <w:sz w:val="24"/>
        </w:rPr>
      </w:r>
    </w:p>
    <w:p>
      <w:pPr>
        <w:pStyle w:val="Normal"/>
        <w:numPr>
          <w:ilvl w:val="0"/>
          <w:numId w:val="1"/>
        </w:numPr>
        <w:tabs>
          <w:tab w:val="clear" w:pos="708"/>
          <w:tab w:val="left" w:pos="360" w:leader="none"/>
        </w:tabs>
        <w:rPr>
          <w:sz w:val="24"/>
        </w:rPr>
      </w:pPr>
      <w:r>
        <w:rPr>
          <w:sz w:val="24"/>
        </w:rPr>
        <w:t xml:space="preserve">Speelgoeddistributeurs en –invoerders verenigen en de gemeenschappelijke professionele, economische en sociale belangen van haar leden behartigen; </w:t>
      </w:r>
    </w:p>
    <w:p>
      <w:pPr>
        <w:pStyle w:val="Normal"/>
        <w:numPr>
          <w:ilvl w:val="0"/>
          <w:numId w:val="1"/>
        </w:numPr>
        <w:tabs>
          <w:tab w:val="clear" w:pos="708"/>
          <w:tab w:val="left" w:pos="360" w:leader="none"/>
        </w:tabs>
        <w:rPr>
          <w:sz w:val="24"/>
        </w:rPr>
      </w:pPr>
      <w:r>
        <w:rPr>
          <w:sz w:val="24"/>
        </w:rPr>
        <w:t>Meer dan ooit aandacht schenken aan de behoeften van de handelaars en de consumenten, vooral in deze "andere" tijden, en bijdragen tot de promotie van speelgoed als essentieel voor de ontwikkeling van onze kinderen.</w:t>
      </w:r>
    </w:p>
    <w:p>
      <w:pPr>
        <w:pStyle w:val="Normal"/>
        <w:numPr>
          <w:ilvl w:val="0"/>
          <w:numId w:val="1"/>
        </w:numPr>
        <w:tabs>
          <w:tab w:val="clear" w:pos="708"/>
          <w:tab w:val="left" w:pos="360" w:leader="none"/>
        </w:tabs>
        <w:rPr>
          <w:sz w:val="24"/>
        </w:rPr>
      </w:pPr>
      <w:r>
        <w:rPr>
          <w:sz w:val="24"/>
        </w:rPr>
        <w:t>Het belang van het spel in de ontwikkeling van het kind benadrukken en op die manier aantonen</w:t>
      </w:r>
    </w:p>
    <w:p>
      <w:pPr>
        <w:pStyle w:val="Normal"/>
        <w:tabs>
          <w:tab w:val="clear" w:pos="708"/>
          <w:tab w:val="left" w:pos="360" w:leader="none"/>
        </w:tabs>
        <w:ind w:start="283"/>
        <w:rPr>
          <w:sz w:val="24"/>
        </w:rPr>
      </w:pPr>
      <w:r>
        <w:rPr>
          <w:sz w:val="24"/>
        </w:rPr>
        <w:t>dat ze permanent begaan is met de kwaliteit van haar speelgoedartikelen;</w:t>
      </w:r>
    </w:p>
    <w:p>
      <w:pPr>
        <w:pStyle w:val="Normal"/>
        <w:numPr>
          <w:ilvl w:val="0"/>
          <w:numId w:val="1"/>
        </w:numPr>
        <w:tabs>
          <w:tab w:val="clear" w:pos="708"/>
          <w:tab w:val="left" w:pos="360" w:leader="none"/>
        </w:tabs>
        <w:rPr>
          <w:sz w:val="24"/>
        </w:rPr>
      </w:pPr>
      <w:r>
        <w:rPr>
          <w:sz w:val="24"/>
        </w:rPr>
        <w:t xml:space="preserve">De belangen van de sector verdedigen bij de bevoegde instanties en hun aandacht vestigen op de veiligheid en de controle van de reclame (bijv. het gebruik van het "CE"-logo op de verpakking van spelletjes en speelgoedartikelen die niet onderworpen werden aan de door de EU opgelegde tests). </w:t>
      </w:r>
    </w:p>
    <w:p>
      <w:pPr>
        <w:pStyle w:val="Normal"/>
        <w:numPr>
          <w:ilvl w:val="0"/>
          <w:numId w:val="1"/>
        </w:numPr>
        <w:tabs>
          <w:tab w:val="clear" w:pos="708"/>
          <w:tab w:val="left" w:pos="360" w:leader="none"/>
        </w:tabs>
        <w:rPr>
          <w:sz w:val="24"/>
        </w:rPr>
      </w:pPr>
      <w:r>
        <w:rPr>
          <w:sz w:val="24"/>
        </w:rPr>
        <w:t>Voortdurend volgen en aanpassen aan specifieke marktbehoeften, (momenteel genderneutraliteitsanalyse).</w:t>
      </w:r>
    </w:p>
    <w:p>
      <w:pPr>
        <w:pStyle w:val="Normal"/>
        <w:rPr>
          <w:sz w:val="24"/>
        </w:rPr>
      </w:pPr>
      <w:r>
        <w:rPr>
          <w:sz w:val="24"/>
        </w:rPr>
      </w:r>
    </w:p>
    <w:p>
      <w:pPr>
        <w:pStyle w:val="Normal"/>
        <w:rPr>
          <w:sz w:val="24"/>
        </w:rPr>
      </w:pPr>
      <w:r>
        <w:rPr>
          <w:b/>
          <w:bCs/>
          <w:i/>
          <w:iCs/>
          <w:sz w:val="28"/>
        </w:rPr>
        <w:t>De</w:t>
      </w:r>
      <w:r>
        <w:rPr>
          <w:sz w:val="24"/>
        </w:rPr>
        <w:t xml:space="preserve"> </w:t>
      </w:r>
      <w:r>
        <w:rPr>
          <w:b/>
          <w:bCs/>
          <w:i/>
          <w:iCs/>
          <w:sz w:val="24"/>
        </w:rPr>
        <w:t>Federatie</w:t>
      </w:r>
      <w:r>
        <w:rPr>
          <w:sz w:val="24"/>
        </w:rPr>
        <w:t xml:space="preserve"> streeft ernaar een geprivilegieerde gesprekpartner te zijn met de Europese Unie, teneinde</w:t>
      </w:r>
    </w:p>
    <w:p>
      <w:pPr>
        <w:pStyle w:val="Normal"/>
        <w:rPr>
          <w:sz w:val="24"/>
        </w:rPr>
      </w:pPr>
      <w:r>
        <w:rPr>
          <w:sz w:val="24"/>
        </w:rPr>
        <w:t xml:space="preserve">ze te helpen bij de toepassing van de wetten, de behartiging van de belangen van de sector en van de consument. Haar financiële middelen zijn uitsluitend afkomstig van de bijdragen van haar leden. </w:t>
      </w:r>
    </w:p>
    <w:p>
      <w:pPr>
        <w:pStyle w:val="Normal"/>
        <w:rPr>
          <w:sz w:val="24"/>
        </w:rPr>
      </w:pPr>
      <w:r>
        <w:rPr>
          <w:sz w:val="24"/>
        </w:rPr>
      </w:r>
    </w:p>
    <w:p>
      <w:pPr>
        <w:pStyle w:val="Normal"/>
        <w:rPr>
          <w:sz w:val="24"/>
        </w:rPr>
      </w:pPr>
      <w:r>
        <w:rPr>
          <w:b/>
          <w:bCs/>
          <w:i/>
          <w:iCs/>
          <w:sz w:val="28"/>
        </w:rPr>
        <w:t>Sinds</w:t>
      </w:r>
      <w:r>
        <w:rPr>
          <w:sz w:val="24"/>
        </w:rPr>
        <w:t xml:space="preserve"> </w:t>
      </w:r>
      <w:r>
        <w:rPr>
          <w:b/>
          <w:bCs/>
          <w:i/>
          <w:iCs/>
          <w:sz w:val="24"/>
        </w:rPr>
        <w:t>1 januari 2006</w:t>
      </w:r>
      <w:r>
        <w:rPr>
          <w:sz w:val="24"/>
        </w:rPr>
        <w:t xml:space="preserve"> maakt de Belgische Speelgoedfederatie deel uit van Comeos. Zo zorgt zij ervoor dat zij beter gehoord wordt door de autoriteiten in België en kan zij deelnemen aan diverse vergaderingen betreffende de speelgoedwereld. Daardoor biedt zij een betere bescherming van haar rechten en activiteiten.</w:t>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u w:val="single"/>
        </w:rPr>
        <w:t>Belgische Speelgoedfederatie</w:t>
      </w:r>
      <w:r>
        <w:rPr>
          <w:sz w:val="24"/>
        </w:rPr>
        <w:t>:</w:t>
        <w:tab/>
        <w:tab/>
        <w:tab/>
        <w:t xml:space="preserve">        </w:t>
      </w:r>
      <w:r>
        <w:rPr>
          <w:sz w:val="24"/>
          <w:u w:val="single"/>
        </w:rPr>
        <w:t>Organisatie : Jumax</w:t>
      </w:r>
    </w:p>
    <w:p>
      <w:pPr>
        <w:pStyle w:val="Normal"/>
        <w:rPr>
          <w:sz w:val="24"/>
        </w:rPr>
      </w:pPr>
      <w:r>
        <w:rPr>
          <w:sz w:val="24"/>
        </w:rPr>
        <w:t>Voorzitter – Bert Desmet</w:t>
        <w:tab/>
        <w:tab/>
        <w:tab/>
        <w:tab/>
        <w:t xml:space="preserve">        Véronique Maes</w:t>
      </w:r>
    </w:p>
    <w:p>
      <w:pPr>
        <w:pStyle w:val="Normal"/>
        <w:rPr>
          <w:color w:val="000000"/>
          <w:sz w:val="24"/>
        </w:rPr>
      </w:pPr>
      <w:r>
        <w:rPr>
          <w:color w:val="000000"/>
          <w:sz w:val="24"/>
        </w:rPr>
        <w:t xml:space="preserve">Guldendelle Park </w:t>
        <w:tab/>
        <w:tab/>
        <w:tab/>
        <w:tab/>
        <w:tab/>
        <w:t xml:space="preserve">        Pont de Libin, 1</w:t>
      </w:r>
    </w:p>
    <w:p>
      <w:pPr>
        <w:pStyle w:val="Normal"/>
        <w:rPr>
          <w:color w:val="000000"/>
          <w:sz w:val="24"/>
        </w:rPr>
      </w:pPr>
      <w:r>
        <w:rPr>
          <w:sz w:val="24"/>
        </w:rPr>
        <w:t>Theodoor Swartsstraat 3, B0101</w:t>
      </w:r>
      <w:r>
        <w:rPr>
          <w:color w:val="000000"/>
          <w:sz w:val="24"/>
        </w:rPr>
        <w:tab/>
        <w:t xml:space="preserve">        </w:t>
        <w:tab/>
        <w:tab/>
        <w:t xml:space="preserve">        </w:t>
      </w:r>
      <w:r>
        <w:rPr>
          <w:sz w:val="24"/>
          <w:lang w:val="nl-BE"/>
        </w:rPr>
        <w:t>6890 Libin – Belgium</w:t>
      </w:r>
    </w:p>
    <w:p>
      <w:pPr>
        <w:pStyle w:val="Normal"/>
        <w:rPr>
          <w:sz w:val="24"/>
          <w:lang w:val="nl-BE"/>
        </w:rPr>
      </w:pPr>
      <w:r>
        <w:rPr>
          <w:color w:val="000000"/>
          <w:sz w:val="24"/>
          <w:lang w:val="nl-BE"/>
        </w:rPr>
        <w:t xml:space="preserve">3070 Kortenberg – Belgium </w:t>
        <w:tab/>
      </w:r>
      <w:r>
        <w:rPr>
          <w:sz w:val="24"/>
          <w:lang w:val="nl-BE"/>
        </w:rPr>
        <w:tab/>
        <w:t xml:space="preserve">        </w:t>
        <w:tab/>
        <w:tab/>
        <w:t xml:space="preserve">        GSM : +32(0)475 72 22 32</w:t>
      </w:r>
    </w:p>
    <w:p>
      <w:pPr>
        <w:pStyle w:val="Normal"/>
        <w:rPr>
          <w:sz w:val="24"/>
          <w:lang w:val="en-US"/>
        </w:rPr>
      </w:pPr>
      <w:r>
        <w:rPr>
          <w:sz w:val="24"/>
          <w:lang w:val="en-US"/>
        </w:rPr>
        <w:t>GSM : +32(0)2/725 52 20</w:t>
        <w:tab/>
        <w:tab/>
        <w:tab/>
        <w:tab/>
        <w:t xml:space="preserve">        Email : </w:t>
      </w:r>
      <w:hyperlink r:id="rId3">
        <w:r>
          <w:rPr>
            <w:rStyle w:val="Hyperlink"/>
            <w:sz w:val="24"/>
            <w:lang w:val="en-US"/>
          </w:rPr>
          <w:t>vmaes.jumax@hotmail.com</w:t>
        </w:r>
      </w:hyperlink>
    </w:p>
    <w:p>
      <w:pPr>
        <w:pStyle w:val="Normal"/>
        <w:rPr>
          <w:sz w:val="24"/>
          <w:lang w:val="en-US"/>
        </w:rPr>
      </w:pPr>
      <w:r>
        <w:rPr>
          <w:sz w:val="24"/>
          <w:lang w:val="en-US"/>
        </w:rPr>
        <w:t>Email </w:t>
      </w:r>
      <w:r>
        <w:rPr>
          <w:sz w:val="24"/>
          <w:szCs w:val="24"/>
          <w:lang w:val="en-US"/>
        </w:rPr>
        <w:t xml:space="preserve">: </w:t>
      </w:r>
      <w:hyperlink r:id="rId4">
        <w:r>
          <w:rPr>
            <w:rStyle w:val="Hyperlink"/>
            <w:sz w:val="24"/>
            <w:szCs w:val="24"/>
            <w:lang w:val="en-US"/>
          </w:rPr>
          <w:t>b.desmet@asmodee.com</w:t>
        </w:r>
      </w:hyperlink>
      <w:r>
        <w:rPr>
          <w:sz w:val="24"/>
          <w:lang w:val="en-US"/>
        </w:rPr>
        <w:t xml:space="preserve"> </w:t>
        <w:tab/>
        <w:tab/>
        <w:t xml:space="preserve">        </w:t>
        <w:tab/>
        <w:t xml:space="preserve">        Website : </w:t>
      </w:r>
      <w:hyperlink r:id="rId5">
        <w:r>
          <w:rPr>
            <w:rStyle w:val="Hyperlink"/>
            <w:sz w:val="24"/>
            <w:lang w:val="en-US"/>
          </w:rPr>
          <w:t>www.toysandgamesoftheyear.be</w:t>
        </w:r>
      </w:hyperlink>
    </w:p>
    <w:p>
      <w:pPr>
        <w:pStyle w:val="Normal"/>
        <w:rPr>
          <w:sz w:val="24"/>
          <w:lang w:val="en-US"/>
        </w:rPr>
      </w:pPr>
      <w:r>
        <w:rPr>
          <w:sz w:val="24"/>
          <w:lang w:val="en-US"/>
        </w:rPr>
        <w:tab/>
        <w:tab/>
        <w:tab/>
        <w:tab/>
        <w:tab/>
        <w:tab/>
        <w:tab/>
        <w:t xml:space="preserve">        </w:t>
      </w:r>
    </w:p>
    <w:p>
      <w:pPr>
        <w:pStyle w:val="Normal"/>
        <w:rPr>
          <w:sz w:val="24"/>
          <w:lang w:val="en-US"/>
        </w:rPr>
      </w:pPr>
      <w:r>
        <w:rPr>
          <w:sz w:val="24"/>
          <w:lang w:val="en-US"/>
        </w:rPr>
      </w:r>
    </w:p>
    <w:p>
      <w:pPr>
        <w:pStyle w:val="Normal"/>
        <w:rPr>
          <w:sz w:val="24"/>
          <w:lang w:val="en-US"/>
        </w:rPr>
      </w:pPr>
      <w:r>
        <w:rPr>
          <w:sz w:val="24"/>
          <w:lang w:val="en-US"/>
        </w:rPr>
      </w:r>
    </w:p>
    <w:sectPr>
      <w:type w:val="nextPage"/>
      <w:pgSz w:w="11906" w:h="16838"/>
      <w:pgMar w:left="993" w:right="424" w:gutter="0" w:header="0" w:top="1134"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mic Sans MS">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Calibri">
    <w:charset w:val="01" w:characterSet="utf-8"/>
    <w:family w:val="swiss"/>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283" w:hanging="283"/>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26fb1"/>
    <w:pPr>
      <w:widowControl/>
      <w:bidi w:val="0"/>
      <w:spacing w:before="0" w:after="0"/>
      <w:jc w:val="start"/>
    </w:pPr>
    <w:rPr>
      <w:rFonts w:ascii="Times New Roman" w:hAnsi="Times New Roman" w:eastAsia="Times New Roman" w:cs="Times New Roman"/>
      <w:color w:val="auto"/>
      <w:kern w:val="0"/>
      <w:sz w:val="20"/>
      <w:szCs w:val="20"/>
      <w:lang w:val="nl-NL" w:eastAsia="fr-FR" w:bidi="ar-SA"/>
    </w:rPr>
  </w:style>
  <w:style w:type="paragraph" w:styleId="Heading1">
    <w:name w:val="heading 1"/>
    <w:basedOn w:val="Normal"/>
    <w:next w:val="Normal"/>
    <w:qFormat/>
    <w:rsid w:val="00226fb1"/>
    <w:pPr>
      <w:keepNext w:val="true"/>
      <w:outlineLvl w:val="0"/>
    </w:pPr>
    <w:rPr>
      <w:rFonts w:ascii="Comic Sans MS" w:hAnsi="Comic Sans MS"/>
      <w:sz w:val="24"/>
      <w:u w:val="single"/>
      <w:lang w:val="fr-BE"/>
    </w:rPr>
  </w:style>
  <w:style w:type="paragraph" w:styleId="Heading3">
    <w:name w:val="heading 3"/>
    <w:basedOn w:val="Normal"/>
    <w:next w:val="Normal"/>
    <w:qFormat/>
    <w:rsid w:val="00226fb1"/>
    <w:pPr>
      <w:keepNext w:val="true"/>
      <w:outlineLvl w:val="2"/>
    </w:pPr>
    <w:rPr>
      <w:sz w:val="26"/>
    </w:rPr>
  </w:style>
  <w:style w:type="paragraph" w:styleId="Heading4">
    <w:name w:val="heading 4"/>
    <w:basedOn w:val="Normal"/>
    <w:next w:val="Normal"/>
    <w:qFormat/>
    <w:rsid w:val="00226fb1"/>
    <w:pPr>
      <w:keepNext w:val="true"/>
      <w:pBdr>
        <w:top w:val="double" w:sz="4" w:space="1" w:color="000000"/>
        <w:left w:val="double" w:sz="4" w:space="4" w:color="000000"/>
        <w:bottom w:val="double" w:sz="4" w:space="1" w:color="000000"/>
        <w:right w:val="double" w:sz="4" w:space="4" w:color="000000"/>
      </w:pBdr>
      <w:outlineLvl w:val="3"/>
    </w:pPr>
    <w:rPr>
      <w:i/>
      <w:iCs/>
      <w:sz w:val="32"/>
    </w:rPr>
  </w:style>
  <w:style w:type="character" w:styleId="DefaultParagraphFont" w:default="1">
    <w:name w:val="Default Paragraph Font"/>
    <w:uiPriority w:val="1"/>
    <w:semiHidden/>
    <w:unhideWhenUsed/>
    <w:qFormat/>
    <w:rPr/>
  </w:style>
  <w:style w:type="character" w:styleId="Hyperlink">
    <w:name w:val="Hyperlink"/>
    <w:rsid w:val="00226fb1"/>
    <w:rPr>
      <w:color w:val="0000FF"/>
      <w:u w:val="single"/>
    </w:rPr>
  </w:style>
  <w:style w:type="character" w:styleId="TextedebullesCar" w:customStyle="1">
    <w:name w:val="Texte de bulles Car"/>
    <w:link w:val="BalloonText"/>
    <w:qFormat/>
    <w:rsid w:val="00cd00ce"/>
    <w:rPr>
      <w:rFonts w:ascii="Segoe UI" w:hAnsi="Segoe UI" w:cs="Segoe UI"/>
      <w:sz w:val="18"/>
      <w:szCs w:val="18"/>
      <w:lang w:val="nl-NL" w:eastAsia="fr-FR"/>
    </w:rPr>
  </w:style>
  <w:style w:type="character" w:styleId="Mentionnonrsolue1" w:customStyle="1">
    <w:name w:val="Mention non résolue1"/>
    <w:uiPriority w:val="99"/>
    <w:semiHidden/>
    <w:unhideWhenUsed/>
    <w:qFormat/>
    <w:rsid w:val="00111de7"/>
    <w:rPr>
      <w:color w:val="605E5C"/>
      <w:shd w:fill="E1DFDD" w:val="clear"/>
    </w:rPr>
  </w:style>
  <w:style w:type="character" w:styleId="UnresolvedMention">
    <w:name w:val="Unresolved Mention"/>
    <w:basedOn w:val="DefaultParagraphFont"/>
    <w:uiPriority w:val="99"/>
    <w:semiHidden/>
    <w:unhideWhenUsed/>
    <w:qFormat/>
    <w:rsid w:val="005c7fe4"/>
    <w:rPr>
      <w:color w:val="605E5C"/>
      <w:shd w:fill="E1DFDD" w:val="clear"/>
    </w:rPr>
  </w:style>
  <w:style w:type="paragraph" w:styleId="Titre">
    <w:name w:val="Titre"/>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rsid w:val="00226fb1"/>
    <w:pPr/>
    <w:rPr>
      <w:rFonts w:ascii="Comic Sans MS" w:hAnsi="Comic Sans MS"/>
      <w:sz w:val="24"/>
      <w:lang w:val="fr-B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Text2">
    <w:name w:val="Body Text 2"/>
    <w:basedOn w:val="Normal"/>
    <w:qFormat/>
    <w:rsid w:val="00226fb1"/>
    <w:pPr>
      <w:spacing w:lineRule="auto" w:line="281"/>
    </w:pPr>
    <w:rPr>
      <w:sz w:val="24"/>
      <w:szCs w:val="24"/>
    </w:rPr>
  </w:style>
  <w:style w:type="paragraph" w:styleId="ListParagraph">
    <w:name w:val="List Paragraph"/>
    <w:basedOn w:val="Normal"/>
    <w:uiPriority w:val="34"/>
    <w:qFormat/>
    <w:rsid w:val="008d2506"/>
    <w:pPr>
      <w:ind w:start="720"/>
    </w:pPr>
    <w:rPr>
      <w:rFonts w:ascii="Calibri" w:hAnsi="Calibri" w:eastAsia="Calibri"/>
      <w:sz w:val="22"/>
      <w:szCs w:val="22"/>
      <w:lang w:val="fr-BE" w:eastAsia="en-US"/>
    </w:rPr>
  </w:style>
  <w:style w:type="paragraph" w:styleId="NormalWeb">
    <w:name w:val="Normal (Web)"/>
    <w:basedOn w:val="Normal"/>
    <w:uiPriority w:val="99"/>
    <w:unhideWhenUsed/>
    <w:qFormat/>
    <w:rsid w:val="006f1658"/>
    <w:pPr/>
    <w:rPr>
      <w:rFonts w:eastAsia="Calibri"/>
      <w:sz w:val="24"/>
      <w:szCs w:val="24"/>
      <w:lang w:val="fr-BE" w:eastAsia="fr-BE"/>
    </w:rPr>
  </w:style>
  <w:style w:type="paragraph" w:styleId="BalloonText">
    <w:name w:val="Balloon Text"/>
    <w:basedOn w:val="Normal"/>
    <w:link w:val="TextedebullesCar"/>
    <w:qFormat/>
    <w:rsid w:val="00cd00ce"/>
    <w:pPr/>
    <w:rPr>
      <w:rFonts w:ascii="Segoe UI" w:hAnsi="Segoe UI" w:cs="Segoe UI"/>
      <w:sz w:val="18"/>
      <w:szCs w:val="18"/>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vmaes.jumax@hotmail.com" TargetMode="External"/><Relationship Id="rId4" Type="http://schemas.openxmlformats.org/officeDocument/2006/relationships/hyperlink" Target="mailto:b.desmet@asmodee.com" TargetMode="External"/><Relationship Id="rId5" Type="http://schemas.openxmlformats.org/officeDocument/2006/relationships/hyperlink" Target="http://www.toysandgamesoftheyear.be/"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LibreOffice/25.8.1.1$MacOSX_AARCH64 LibreOffice_project/54047653041915e595ad4e45cccea684809c77b5</Application>
  <AppVersion>15.0000</AppVersion>
  <Pages>3</Pages>
  <Words>821</Words>
  <Characters>4891</Characters>
  <CharactersWithSpaces>6180</CharactersWithSpaces>
  <Paragraphs>56</Paragraphs>
  <Company>Elusive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2021-09-15T07:19:00Z</dcterms:created>
  <dc:creator>Véronique</dc:creator>
  <dc:description/>
  <dc:language>fr-BE</dc:language>
  <cp:lastModifiedBy>Veronique Maes</cp:lastModifiedBy>
  <cp:lastPrinted>2019-10-09T16:55:00Z</cp:lastPrinted>
  <dcterms:modified xsi:type="dcterms:W3CDTF">2025-10-06T11:30:00Z</dcterms:modified>
  <cp:revision>115</cp:revision>
  <dc:subject/>
  <dc:title>Persdossier</dc:title>
</cp:coreProperties>
</file>

<file path=docProps/custom.xml><?xml version="1.0" encoding="utf-8"?>
<Properties xmlns="http://schemas.openxmlformats.org/officeDocument/2006/custom-properties" xmlns:vt="http://schemas.openxmlformats.org/officeDocument/2006/docPropsVTypes"/>
</file>